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0AFA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198"/>
        <w:gridCol w:w="1198"/>
        <w:gridCol w:w="1199"/>
        <w:gridCol w:w="1199"/>
        <w:gridCol w:w="1199"/>
        <w:gridCol w:w="1199"/>
        <w:gridCol w:w="1199"/>
        <w:gridCol w:w="12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093D6B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093D6B"/>
              <w:jc w:val="center"/>
              <w:rPr>
                <w:rFonts w:ascii="黑体" w:hAnsi="宋体" w:eastAsia="黑体" w:cs="黑体"/>
                <w:b w:val="0"/>
                <w:bCs w:val="0"/>
                <w:caps w:val="0"/>
                <w:color w:val="FFFFFF"/>
                <w:spacing w:val="0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2021年11月22日 非金融企业债务融资工具定价估值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3092C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2.83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3.13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4.38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2.93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4.03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3.92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4.89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5.76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4.18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4.89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5.11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5.53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6.23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7.11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7.51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8.17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8.31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53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2021-11-22T09:51:06Z</dcterms:created>
  <dc:creator>HUANG</dc:creator>
  <cp:lastModifiedBy>小猪哥</cp:lastModifiedBy>
  <dcterms:modified xsi:type="dcterms:W3CDTF">2021-11-22T09:51:15Z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988005C4DF1544049B303174D577D064</vt:lpwstr>
  </property>
</Properties>
</file>